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jc w:val="center"/>
        <w:outlineLvl w:val="1"/>
        <w:rPr>
          <w:rFonts w:hAnsi="宋体" w:cs="Times New Roman"/>
          <w:b/>
          <w:color w:val="000000"/>
          <w:sz w:val="32"/>
          <w:szCs w:val="32"/>
        </w:rPr>
      </w:pPr>
      <w:r>
        <w:rPr>
          <w:rFonts w:hint="eastAsia" w:hAnsi="宋体"/>
          <w:b/>
          <w:sz w:val="32"/>
          <w:szCs w:val="32"/>
          <w:lang w:val="en-US" w:eastAsia="zh-CN"/>
        </w:rPr>
        <w:t xml:space="preserve"> </w:t>
      </w:r>
      <w:r>
        <w:rPr>
          <w:rFonts w:hint="eastAsia" w:hAnsi="宋体"/>
          <w:b/>
          <w:sz w:val="32"/>
          <w:szCs w:val="32"/>
        </w:rPr>
        <w:t>2018</w:t>
      </w:r>
      <w:r>
        <w:rPr>
          <w:rFonts w:hint="eastAsia" w:hAnsi="宋体"/>
          <w:b/>
          <w:sz w:val="32"/>
          <w:szCs w:val="32"/>
          <w:lang w:val="en-US" w:eastAsia="zh-CN"/>
        </w:rPr>
        <w:t>四川</w:t>
      </w:r>
      <w:r>
        <w:rPr>
          <w:rFonts w:hint="eastAsia" w:hAnsi="宋体"/>
          <w:b/>
          <w:sz w:val="32"/>
          <w:szCs w:val="32"/>
        </w:rPr>
        <w:t>成乐</w:t>
      </w:r>
      <w:r>
        <w:rPr>
          <w:rFonts w:hint="eastAsia" w:hAnsi="宋体"/>
          <w:b/>
          <w:sz w:val="32"/>
          <w:szCs w:val="32"/>
          <w:lang w:val="en-US" w:eastAsia="zh-CN"/>
        </w:rPr>
        <w:t>高速公路有限责任公司</w:t>
      </w:r>
      <w:r>
        <w:rPr>
          <w:rFonts w:hint="eastAsia" w:hAnsi="宋体"/>
          <w:b/>
          <w:sz w:val="32"/>
          <w:szCs w:val="32"/>
        </w:rPr>
        <w:t>运营管理分公司</w:t>
      </w:r>
      <w:r>
        <w:rPr>
          <w:rFonts w:hint="eastAsia" w:hAnsi="宋体"/>
          <w:b/>
          <w:sz w:val="32"/>
          <w:szCs w:val="32"/>
          <w:lang w:val="en-US" w:eastAsia="zh-CN"/>
        </w:rPr>
        <w:t>室内</w:t>
      </w:r>
      <w:r>
        <w:rPr>
          <w:rFonts w:hint="eastAsia" w:hAnsi="宋体"/>
          <w:b/>
          <w:sz w:val="32"/>
          <w:szCs w:val="32"/>
        </w:rPr>
        <w:t>LED显示屏项目询价文件</w:t>
      </w:r>
    </w:p>
    <w:p>
      <w:pPr>
        <w:pStyle w:val="2"/>
        <w:keepLines/>
        <w:spacing w:before="340" w:after="330" w:line="360" w:lineRule="auto"/>
        <w:jc w:val="center"/>
        <w:rPr>
          <w:rFonts w:hint="eastAsia" w:ascii="宋体" w:hAnsi="宋体" w:cs="宋体"/>
          <w:b/>
          <w:bCs/>
          <w:color w:val="000000"/>
          <w:kern w:val="44"/>
          <w:sz w:val="30"/>
          <w:szCs w:val="30"/>
          <w:u w:val="none"/>
        </w:rPr>
      </w:pPr>
      <w:r>
        <w:rPr>
          <w:rFonts w:hint="eastAsia" w:ascii="宋体" w:hAnsi="宋体" w:cs="宋体"/>
          <w:b/>
          <w:bCs/>
          <w:color w:val="000000"/>
          <w:kern w:val="44"/>
          <w:sz w:val="30"/>
          <w:szCs w:val="30"/>
          <w:u w:val="none"/>
        </w:rPr>
        <w:t>第一章  询价文件</w:t>
      </w:r>
    </w:p>
    <w:p>
      <w:pPr>
        <w:pStyle w:val="3"/>
        <w:spacing w:line="520" w:lineRule="exact"/>
        <w:ind w:firstLine="562" w:firstLineChars="200"/>
        <w:rPr>
          <w:rFonts w:hAnsi="宋体"/>
          <w:color w:val="000000"/>
          <w:sz w:val="28"/>
          <w:szCs w:val="28"/>
        </w:rPr>
      </w:pPr>
      <w:r>
        <w:rPr>
          <w:rFonts w:hint="eastAsia" w:hAnsi="宋体"/>
          <w:b/>
          <w:color w:val="000000"/>
          <w:sz w:val="28"/>
          <w:szCs w:val="28"/>
          <w:u w:val="single"/>
        </w:rPr>
        <w:t>2018年</w:t>
      </w:r>
      <w:r>
        <w:rPr>
          <w:rFonts w:hint="eastAsia" w:hAnsi="宋体"/>
          <w:b/>
          <w:color w:val="000000"/>
          <w:sz w:val="28"/>
          <w:szCs w:val="28"/>
          <w:u w:val="single"/>
          <w:lang w:val="en-US" w:eastAsia="zh-CN"/>
        </w:rPr>
        <w:t>四川高速公路有限责任公司运营管理分公司室内</w:t>
      </w:r>
      <w:r>
        <w:rPr>
          <w:rFonts w:hint="eastAsia" w:hAnsi="宋体"/>
          <w:b/>
          <w:color w:val="000000"/>
          <w:sz w:val="28"/>
          <w:szCs w:val="28"/>
          <w:u w:val="single"/>
        </w:rPr>
        <w:t>LED显示屏项目</w:t>
      </w:r>
      <w:r>
        <w:rPr>
          <w:rFonts w:hint="eastAsia" w:hAnsi="宋体"/>
          <w:color w:val="000000"/>
          <w:sz w:val="28"/>
          <w:szCs w:val="28"/>
        </w:rPr>
        <w:t>（以下简称“本项目”），现已具备询价条件，由四川成乐高速公路有限责任公司运营管理分公司</w:t>
      </w:r>
      <w:r>
        <w:rPr>
          <w:rFonts w:hint="eastAsia" w:hAnsi="宋体"/>
          <w:color w:val="000000"/>
          <w:sz w:val="28"/>
          <w:szCs w:val="28"/>
          <w:lang w:eastAsia="zh-CN"/>
        </w:rPr>
        <w:t>（</w:t>
      </w:r>
      <w:r>
        <w:rPr>
          <w:rFonts w:hint="eastAsia" w:hAnsi="宋体"/>
          <w:color w:val="000000"/>
          <w:sz w:val="28"/>
          <w:szCs w:val="28"/>
          <w:lang w:val="en-US" w:eastAsia="zh-CN"/>
        </w:rPr>
        <w:t>以下简称成乐运营管理分公司</w:t>
      </w:r>
      <w:r>
        <w:rPr>
          <w:rFonts w:hint="eastAsia" w:hAnsi="宋体"/>
          <w:color w:val="000000"/>
          <w:sz w:val="28"/>
          <w:szCs w:val="28"/>
          <w:lang w:eastAsia="zh-CN"/>
        </w:rPr>
        <w:t>）</w:t>
      </w:r>
      <w:r>
        <w:rPr>
          <w:rFonts w:hint="eastAsia" w:hAnsi="宋体"/>
          <w:color w:val="000000"/>
          <w:sz w:val="28"/>
          <w:szCs w:val="28"/>
        </w:rPr>
        <w:t>作为询价人</w:t>
      </w:r>
      <w:r>
        <w:rPr>
          <w:rFonts w:hAnsi="宋体"/>
          <w:color w:val="000000"/>
          <w:sz w:val="28"/>
          <w:szCs w:val="28"/>
        </w:rPr>
        <w:t>（以下简称“</w:t>
      </w:r>
      <w:r>
        <w:rPr>
          <w:rFonts w:hint="eastAsia" w:hAnsi="宋体"/>
          <w:color w:val="000000"/>
          <w:sz w:val="28"/>
          <w:szCs w:val="28"/>
        </w:rPr>
        <w:t>询价人</w:t>
      </w:r>
      <w:r>
        <w:rPr>
          <w:rFonts w:hAnsi="宋体"/>
          <w:color w:val="000000"/>
          <w:sz w:val="28"/>
          <w:szCs w:val="28"/>
        </w:rPr>
        <w:t>”），自行组织该项目</w:t>
      </w:r>
      <w:r>
        <w:rPr>
          <w:rFonts w:hint="eastAsia" w:hAnsi="宋体"/>
          <w:color w:val="000000"/>
          <w:sz w:val="28"/>
          <w:szCs w:val="28"/>
        </w:rPr>
        <w:t>的询价</w:t>
      </w:r>
      <w:r>
        <w:rPr>
          <w:rFonts w:hAnsi="宋体"/>
          <w:color w:val="000000"/>
          <w:sz w:val="28"/>
          <w:szCs w:val="28"/>
        </w:rPr>
        <w:t>。本项目实行公开询价，评标采用满足技术指标、经评审</w:t>
      </w:r>
      <w:r>
        <w:rPr>
          <w:rFonts w:hint="eastAsia" w:hAnsi="宋体"/>
          <w:color w:val="000000"/>
          <w:sz w:val="28"/>
          <w:szCs w:val="28"/>
          <w:lang w:val="en-US" w:eastAsia="zh-CN"/>
        </w:rPr>
        <w:t>LED屏体</w:t>
      </w:r>
      <w:r>
        <w:rPr>
          <w:rFonts w:hint="eastAsia" w:hAnsi="宋体" w:eastAsia="宋体" w:cs="宋体"/>
          <w:color w:val="000000"/>
          <w:sz w:val="28"/>
          <w:szCs w:val="28"/>
          <w:lang w:val="en-US" w:eastAsia="zh-CN"/>
        </w:rPr>
        <w:t>每平方米</w:t>
      </w:r>
      <w:r>
        <w:rPr>
          <w:rFonts w:hint="eastAsia" w:hAnsi="宋体"/>
          <w:color w:val="000000"/>
          <w:sz w:val="28"/>
          <w:szCs w:val="28"/>
          <w:lang w:val="en-US" w:eastAsia="zh-CN"/>
        </w:rPr>
        <w:t>单价（报价总价</w:t>
      </w:r>
      <w:r>
        <w:rPr>
          <w:rFonts w:hint="default" w:ascii="Arial" w:hAnsi="Arial" w:cs="Arial"/>
          <w:color w:val="000000"/>
          <w:sz w:val="28"/>
          <w:szCs w:val="28"/>
          <w:lang w:val="en-US" w:eastAsia="zh-CN"/>
        </w:rPr>
        <w:t>÷</w:t>
      </w:r>
      <w:r>
        <w:rPr>
          <w:rFonts w:hint="eastAsia" w:ascii="Arial" w:hAnsi="Arial" w:cs="Arial"/>
          <w:color w:val="000000"/>
          <w:sz w:val="28"/>
          <w:szCs w:val="28"/>
          <w:lang w:val="en-US" w:eastAsia="zh-CN"/>
        </w:rPr>
        <w:t>屏体面积</w:t>
      </w:r>
      <w:r>
        <w:rPr>
          <w:rFonts w:hint="eastAsia" w:ascii="宋体" w:hAnsi="宋体" w:eastAsia="宋体" w:cs="宋体"/>
          <w:color w:val="000000"/>
          <w:sz w:val="28"/>
          <w:szCs w:val="28"/>
          <w:lang w:val="en-US" w:eastAsia="zh-CN"/>
        </w:rPr>
        <w:t>﹦</w:t>
      </w:r>
      <w:r>
        <w:rPr>
          <w:rFonts w:hint="eastAsia" w:asciiTheme="minorEastAsia" w:hAnsiTheme="minorEastAsia" w:cstheme="minorEastAsia"/>
          <w:color w:val="000000"/>
          <w:sz w:val="28"/>
          <w:szCs w:val="28"/>
          <w:lang w:val="en-US" w:eastAsia="zh-CN"/>
        </w:rPr>
        <w:t>屏体</w:t>
      </w:r>
      <w:r>
        <w:rPr>
          <w:rFonts w:hint="eastAsia" w:hAnsi="宋体" w:eastAsia="宋体" w:cs="宋体"/>
          <w:color w:val="000000"/>
          <w:sz w:val="28"/>
          <w:szCs w:val="28"/>
          <w:lang w:val="en-US" w:eastAsia="zh-CN"/>
        </w:rPr>
        <w:t>每平方米</w:t>
      </w:r>
      <w:r>
        <w:rPr>
          <w:rFonts w:hint="eastAsia" w:asciiTheme="minorEastAsia" w:hAnsiTheme="minorEastAsia" w:cstheme="minorEastAsia"/>
          <w:color w:val="000000"/>
          <w:sz w:val="28"/>
          <w:szCs w:val="28"/>
          <w:lang w:val="en-US" w:eastAsia="zh-CN"/>
        </w:rPr>
        <w:t>单价</w:t>
      </w:r>
      <w:r>
        <w:rPr>
          <w:rFonts w:hint="eastAsia" w:hAnsi="宋体"/>
          <w:color w:val="000000"/>
          <w:sz w:val="28"/>
          <w:szCs w:val="28"/>
          <w:lang w:val="en-US" w:eastAsia="zh-CN"/>
        </w:rPr>
        <w:t>）</w:t>
      </w:r>
      <w:r>
        <w:rPr>
          <w:rFonts w:hAnsi="宋体"/>
          <w:color w:val="000000"/>
          <w:sz w:val="28"/>
          <w:szCs w:val="28"/>
        </w:rPr>
        <w:t>最低投标价法确定其承包人，具体情况如下：</w:t>
      </w:r>
    </w:p>
    <w:p>
      <w:pPr>
        <w:spacing w:line="520" w:lineRule="exact"/>
        <w:ind w:firstLine="480"/>
        <w:rPr>
          <w:rFonts w:hint="eastAsia" w:ascii="宋体" w:hAnsi="宋体" w:cs="Courier New"/>
          <w:color w:val="000000"/>
          <w:sz w:val="28"/>
          <w:szCs w:val="28"/>
        </w:rPr>
      </w:pPr>
      <w:r>
        <w:rPr>
          <w:rFonts w:hint="eastAsia" w:ascii="宋体" w:hAnsi="宋体" w:cs="Courier New"/>
          <w:color w:val="000000"/>
          <w:sz w:val="28"/>
          <w:szCs w:val="28"/>
        </w:rPr>
        <w:t>一、项目名称：2018年四川成乐高速公路有限责任公司运营管理分公司</w:t>
      </w:r>
      <w:r>
        <w:rPr>
          <w:rFonts w:hint="eastAsia" w:ascii="宋体" w:hAnsi="宋体" w:cs="Courier New"/>
          <w:color w:val="000000"/>
          <w:sz w:val="28"/>
          <w:szCs w:val="28"/>
          <w:lang w:val="en-US" w:eastAsia="zh-CN"/>
        </w:rPr>
        <w:t>室内</w:t>
      </w:r>
      <w:r>
        <w:rPr>
          <w:rFonts w:hint="eastAsia" w:ascii="宋体" w:hAnsi="宋体" w:cs="Courier New"/>
          <w:color w:val="000000"/>
          <w:sz w:val="28"/>
          <w:szCs w:val="28"/>
        </w:rPr>
        <w:t>LED显示屏安装</w:t>
      </w:r>
    </w:p>
    <w:p>
      <w:pPr>
        <w:spacing w:line="520" w:lineRule="exact"/>
        <w:ind w:firstLine="480"/>
        <w:rPr>
          <w:rFonts w:hint="eastAsia" w:ascii="宋体" w:hAnsi="宋体" w:cs="Courier New"/>
          <w:color w:val="000000"/>
          <w:sz w:val="28"/>
          <w:szCs w:val="28"/>
        </w:rPr>
      </w:pPr>
      <w:r>
        <w:rPr>
          <w:rFonts w:hint="eastAsia" w:ascii="宋体" w:hAnsi="宋体" w:cs="Courier New"/>
          <w:color w:val="000000"/>
          <w:sz w:val="28"/>
          <w:szCs w:val="28"/>
        </w:rPr>
        <w:t>二、询价人：  四川成乐高速公路有限责任公司运营管理分公司</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三、项目概况：</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为提高</w:t>
      </w:r>
      <w:r>
        <w:rPr>
          <w:rFonts w:hint="eastAsia" w:hAnsi="宋体"/>
          <w:color w:val="000000"/>
          <w:sz w:val="28"/>
          <w:szCs w:val="28"/>
          <w:lang w:val="en-US" w:eastAsia="zh-CN"/>
        </w:rPr>
        <w:t>公司</w:t>
      </w:r>
      <w:r>
        <w:rPr>
          <w:rFonts w:hint="eastAsia" w:hAnsi="宋体"/>
          <w:color w:val="000000"/>
          <w:sz w:val="28"/>
          <w:szCs w:val="28"/>
        </w:rPr>
        <w:t>企业形象，营造积极向上的工作氛围，在</w:t>
      </w:r>
      <w:r>
        <w:rPr>
          <w:rFonts w:hint="eastAsia" w:hAnsi="宋体"/>
          <w:color w:val="000000"/>
          <w:sz w:val="28"/>
          <w:szCs w:val="28"/>
          <w:lang w:val="en-US" w:eastAsia="zh-CN"/>
        </w:rPr>
        <w:t>公司</w:t>
      </w:r>
      <w:r>
        <w:rPr>
          <w:rFonts w:hint="eastAsia" w:hAnsi="宋体"/>
          <w:color w:val="000000"/>
          <w:sz w:val="28"/>
          <w:szCs w:val="28"/>
        </w:rPr>
        <w:t>本部</w:t>
      </w:r>
      <w:r>
        <w:rPr>
          <w:rFonts w:hint="eastAsia" w:hAnsi="宋体"/>
          <w:color w:val="000000"/>
          <w:sz w:val="28"/>
          <w:szCs w:val="28"/>
          <w:lang w:val="en-US" w:eastAsia="zh-CN"/>
        </w:rPr>
        <w:t>室内</w:t>
      </w:r>
      <w:r>
        <w:rPr>
          <w:rFonts w:hint="eastAsia" w:hAnsi="宋体"/>
          <w:color w:val="000000"/>
          <w:sz w:val="28"/>
          <w:szCs w:val="28"/>
        </w:rPr>
        <w:t>大厅安装全彩LED显示屏一套（具体参数见后）。本项目的最高限价为3万元。</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四、参与报价条件：</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1、须持有有效证件营业执照、税务登记证、组织机构代码证（如已办理三证合一，则只需提高营业执照副本复印件加盖公章）；</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2、营业执照经营范围内含有LED销售、安装等在内；</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3、近二年来（从2016年1月至今）已完成验收的类似安装LED业绩1个及以上，需附合同文件及验收证书复印件（加盖鲜章）；</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4、所提供的产品须附上产品质量认证证书。</w:t>
      </w:r>
    </w:p>
    <w:p>
      <w:pPr>
        <w:pStyle w:val="3"/>
        <w:spacing w:line="520" w:lineRule="exact"/>
        <w:ind w:firstLine="560" w:firstLineChars="200"/>
        <w:rPr>
          <w:rFonts w:hint="eastAsia" w:hAnsi="宋体" w:eastAsiaTheme="minorEastAsia"/>
          <w:color w:val="000000"/>
          <w:sz w:val="28"/>
          <w:szCs w:val="28"/>
          <w:lang w:val="en-US" w:eastAsia="zh-CN"/>
        </w:rPr>
      </w:pPr>
      <w:r>
        <w:rPr>
          <w:rFonts w:hint="eastAsia" w:hAnsi="宋体"/>
          <w:color w:val="000000"/>
          <w:sz w:val="28"/>
          <w:szCs w:val="28"/>
          <w:lang w:val="en-US" w:eastAsia="zh-CN"/>
        </w:rPr>
        <w:t>五、评审方法：</w:t>
      </w:r>
      <w:r>
        <w:rPr>
          <w:rFonts w:hint="eastAsia" w:ascii="宋体" w:hAnsi="宋体"/>
          <w:color w:val="000000"/>
          <w:sz w:val="28"/>
          <w:szCs w:val="28"/>
          <w:lang w:val="en-US" w:eastAsia="zh-CN"/>
        </w:rPr>
        <w:t>经评审</w:t>
      </w:r>
      <w:r>
        <w:rPr>
          <w:rFonts w:hint="eastAsia" w:hAnsi="宋体"/>
          <w:color w:val="000000"/>
          <w:sz w:val="28"/>
          <w:szCs w:val="28"/>
          <w:lang w:val="en-US" w:eastAsia="zh-CN"/>
        </w:rPr>
        <w:t>满足技术指标、LED屏体</w:t>
      </w:r>
      <w:r>
        <w:rPr>
          <w:rFonts w:hint="eastAsia" w:hAnsi="宋体" w:eastAsia="宋体" w:cs="宋体"/>
          <w:color w:val="000000"/>
          <w:sz w:val="28"/>
          <w:szCs w:val="28"/>
          <w:lang w:val="en-US" w:eastAsia="zh-CN"/>
        </w:rPr>
        <w:t>每平方米</w:t>
      </w:r>
      <w:r>
        <w:rPr>
          <w:rFonts w:hint="eastAsia" w:hAnsi="宋体"/>
          <w:color w:val="000000"/>
          <w:sz w:val="28"/>
          <w:szCs w:val="28"/>
          <w:lang w:val="en-US" w:eastAsia="zh-CN"/>
        </w:rPr>
        <w:t>单价（报价总价</w:t>
      </w:r>
      <w:r>
        <w:rPr>
          <w:rFonts w:hint="default" w:ascii="Arial" w:hAnsi="Arial" w:cs="Arial"/>
          <w:color w:val="000000"/>
          <w:sz w:val="28"/>
          <w:szCs w:val="28"/>
          <w:lang w:val="en-US" w:eastAsia="zh-CN"/>
        </w:rPr>
        <w:t>÷</w:t>
      </w:r>
      <w:r>
        <w:rPr>
          <w:rFonts w:hint="eastAsia" w:ascii="Arial" w:hAnsi="Arial" w:cs="Arial"/>
          <w:color w:val="000000"/>
          <w:sz w:val="28"/>
          <w:szCs w:val="28"/>
          <w:lang w:val="en-US" w:eastAsia="zh-CN"/>
        </w:rPr>
        <w:t>屏体面积</w:t>
      </w:r>
      <w:r>
        <w:rPr>
          <w:rFonts w:hint="eastAsia" w:ascii="宋体" w:hAnsi="宋体" w:eastAsia="宋体" w:cs="宋体"/>
          <w:color w:val="000000"/>
          <w:sz w:val="28"/>
          <w:szCs w:val="28"/>
          <w:lang w:val="en-US" w:eastAsia="zh-CN"/>
        </w:rPr>
        <w:t>﹦</w:t>
      </w:r>
      <w:r>
        <w:rPr>
          <w:rFonts w:hint="eastAsia" w:asciiTheme="minorEastAsia" w:hAnsiTheme="minorEastAsia" w:cstheme="minorEastAsia"/>
          <w:color w:val="000000"/>
          <w:sz w:val="28"/>
          <w:szCs w:val="28"/>
          <w:lang w:val="en-US" w:eastAsia="zh-CN"/>
        </w:rPr>
        <w:t>屏体</w:t>
      </w:r>
      <w:r>
        <w:rPr>
          <w:rFonts w:hint="eastAsia" w:hAnsi="宋体" w:eastAsia="宋体" w:cs="宋体"/>
          <w:color w:val="000000"/>
          <w:sz w:val="28"/>
          <w:szCs w:val="28"/>
          <w:lang w:val="en-US" w:eastAsia="zh-CN"/>
        </w:rPr>
        <w:t>每平方米</w:t>
      </w:r>
      <w:r>
        <w:rPr>
          <w:rFonts w:hint="eastAsia" w:asciiTheme="minorEastAsia" w:hAnsiTheme="minorEastAsia" w:cstheme="minorEastAsia"/>
          <w:color w:val="000000"/>
          <w:sz w:val="28"/>
          <w:szCs w:val="28"/>
          <w:lang w:val="en-US" w:eastAsia="zh-CN"/>
        </w:rPr>
        <w:t>单价</w:t>
      </w:r>
      <w:r>
        <w:rPr>
          <w:rFonts w:hint="eastAsia" w:hAnsi="宋体"/>
          <w:color w:val="000000"/>
          <w:sz w:val="28"/>
          <w:szCs w:val="28"/>
          <w:lang w:val="en-US" w:eastAsia="zh-CN"/>
        </w:rPr>
        <w:t>）</w:t>
      </w:r>
      <w:r>
        <w:rPr>
          <w:rFonts w:hint="eastAsia" w:ascii="宋体" w:hAnsi="宋体"/>
          <w:color w:val="000000"/>
          <w:sz w:val="28"/>
          <w:szCs w:val="28"/>
          <w:lang w:val="en-US" w:eastAsia="zh-CN"/>
        </w:rPr>
        <w:t>最低确定其承包人</w:t>
      </w:r>
    </w:p>
    <w:p>
      <w:pPr>
        <w:ind w:firstLine="2160" w:firstLineChars="600"/>
        <w:rPr>
          <w:rFonts w:hint="eastAsia"/>
          <w:sz w:val="36"/>
          <w:szCs w:val="44"/>
          <w:lang w:val="en-US" w:eastAsia="zh-CN"/>
        </w:rPr>
      </w:pPr>
      <w:bookmarkStart w:id="0" w:name="_GoBack"/>
      <w:bookmarkEnd w:id="0"/>
    </w:p>
    <w:p>
      <w:pPr>
        <w:ind w:firstLine="2249" w:firstLineChars="700"/>
        <w:rPr>
          <w:rFonts w:hint="eastAsia"/>
          <w:b/>
          <w:bCs/>
          <w:sz w:val="32"/>
          <w:szCs w:val="40"/>
          <w:lang w:val="en-US" w:eastAsia="zh-CN"/>
        </w:rPr>
      </w:pPr>
      <w:r>
        <w:rPr>
          <w:rFonts w:hint="eastAsia"/>
          <w:b/>
          <w:bCs/>
          <w:sz w:val="32"/>
          <w:szCs w:val="40"/>
          <w:lang w:val="en-US" w:eastAsia="zh-CN"/>
        </w:rPr>
        <w:t>第二章 技术指标参数及要求</w:t>
      </w:r>
    </w:p>
    <w:p>
      <w:pPr>
        <w:rPr>
          <w:rFonts w:hint="eastAsia"/>
          <w:sz w:val="28"/>
          <w:szCs w:val="36"/>
          <w:lang w:val="en-US" w:eastAsia="zh-CN"/>
        </w:rPr>
      </w:pPr>
      <w:r>
        <w:rPr>
          <w:rFonts w:hint="eastAsia"/>
          <w:sz w:val="28"/>
          <w:szCs w:val="36"/>
          <w:lang w:val="en-US" w:eastAsia="zh-CN"/>
        </w:rPr>
        <w:t>技术要求：</w:t>
      </w:r>
    </w:p>
    <w:p>
      <w:pPr>
        <w:rPr>
          <w:rFonts w:hint="eastAsia"/>
          <w:sz w:val="28"/>
          <w:szCs w:val="36"/>
          <w:lang w:val="en-US" w:eastAsia="zh-CN"/>
        </w:rPr>
      </w:pPr>
      <w:r>
        <w:rPr>
          <w:rFonts w:hint="eastAsia"/>
          <w:sz w:val="28"/>
          <w:szCs w:val="36"/>
          <w:lang w:val="en-US" w:eastAsia="zh-CN"/>
        </w:rPr>
        <w:t>LED显示屏技术参数—室内PH2.5全彩</w:t>
      </w:r>
    </w:p>
    <w:p>
      <w:pPr>
        <w:rPr>
          <w:rFonts w:hint="eastAsia"/>
          <w:sz w:val="28"/>
          <w:szCs w:val="36"/>
          <w:lang w:val="en-US" w:eastAsia="zh-CN"/>
        </w:rPr>
      </w:pPr>
      <w:r>
        <w:rPr>
          <w:rFonts w:hint="eastAsia"/>
          <w:sz w:val="28"/>
          <w:szCs w:val="36"/>
          <w:lang w:val="en-US" w:eastAsia="zh-CN"/>
        </w:rPr>
        <w:t>屏体显示净面积：</w:t>
      </w:r>
      <w:r>
        <w:rPr>
          <w:rFonts w:hint="eastAsia" w:ascii="Calibri" w:hAnsi="Calibri" w:cs="Calibri"/>
          <w:sz w:val="28"/>
          <w:szCs w:val="36"/>
          <w:lang w:val="en-US" w:eastAsia="zh-CN"/>
        </w:rPr>
        <w:t>2.80</w:t>
      </w:r>
      <w:r>
        <w:rPr>
          <w:rFonts w:hint="eastAsia" w:ascii="宋体" w:hAnsi="宋体" w:eastAsia="宋体" w:cs="宋体"/>
          <w:sz w:val="28"/>
          <w:szCs w:val="36"/>
          <w:lang w:val="en-US" w:eastAsia="zh-CN"/>
        </w:rPr>
        <w:t>㎡至3.20㎡</w:t>
      </w:r>
    </w:p>
    <w:p>
      <w:pPr>
        <w:rPr>
          <w:rFonts w:hint="eastAsia"/>
          <w:sz w:val="28"/>
          <w:szCs w:val="36"/>
          <w:lang w:val="en-US" w:eastAsia="zh-CN"/>
        </w:rPr>
      </w:pPr>
      <w:r>
        <w:rPr>
          <w:rFonts w:hint="eastAsia"/>
          <w:sz w:val="28"/>
          <w:szCs w:val="36"/>
          <w:lang w:val="en-US" w:eastAsia="zh-CN"/>
        </w:rPr>
        <w:t>物理点间距：2.5mm</w:t>
      </w:r>
    </w:p>
    <w:p>
      <w:pPr>
        <w:rPr>
          <w:rFonts w:hint="eastAsia" w:asciiTheme="minorEastAsia" w:hAnsiTheme="minorEastAsia" w:eastAsiaTheme="minorEastAsia" w:cstheme="minorEastAsia"/>
          <w:sz w:val="28"/>
          <w:szCs w:val="36"/>
          <w:lang w:val="en-US" w:eastAsia="zh-CN"/>
        </w:rPr>
      </w:pPr>
      <w:r>
        <w:rPr>
          <w:rFonts w:hint="eastAsia"/>
          <w:sz w:val="28"/>
          <w:szCs w:val="36"/>
          <w:lang w:val="en-US" w:eastAsia="zh-CN"/>
        </w:rPr>
        <w:t>物理密度：160000点</w:t>
      </w:r>
      <w:r>
        <w:rPr>
          <w:rFonts w:hint="eastAsia" w:ascii="宋体" w:hAnsi="宋体" w:eastAsia="宋体" w:cs="宋体"/>
          <w:sz w:val="28"/>
          <w:szCs w:val="36"/>
          <w:lang w:val="en-US" w:eastAsia="zh-CN"/>
        </w:rPr>
        <w:t>/㎡</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驱动方式：1</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32扫描</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换帧频率：</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60Hz</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刷新频率：</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1800Hz</w:t>
      </w:r>
    </w:p>
    <w:p>
      <w:pPr>
        <w:rPr>
          <w:rFonts w:hint="eastAsia" w:ascii="宋体" w:hAnsi="宋体" w:eastAsia="宋体" w:cs="宋体"/>
          <w:sz w:val="28"/>
          <w:szCs w:val="36"/>
          <w:lang w:val="en-US" w:eastAsia="zh-CN"/>
        </w:rPr>
      </w:pPr>
      <w:r>
        <w:rPr>
          <w:rFonts w:hint="eastAsia" w:asciiTheme="minorEastAsia" w:hAnsiTheme="minorEastAsia" w:cstheme="minorEastAsia"/>
          <w:sz w:val="28"/>
          <w:szCs w:val="36"/>
          <w:lang w:val="en-US" w:eastAsia="zh-CN"/>
        </w:rPr>
        <w:t>每平方亮度：</w:t>
      </w:r>
      <w:r>
        <w:rPr>
          <w:rFonts w:hint="eastAsia" w:ascii="宋体" w:hAnsi="宋体" w:eastAsia="宋体" w:cs="宋体"/>
          <w:sz w:val="28"/>
          <w:szCs w:val="36"/>
          <w:lang w:val="en-US" w:eastAsia="zh-CN"/>
        </w:rPr>
        <w:t>≧1200cd</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灰度等级：</w:t>
      </w:r>
      <w:r>
        <w:rPr>
          <w:rFonts w:hint="default" w:ascii="Arial" w:hAnsi="Arial" w:eastAsia="宋体" w:cs="Arial"/>
          <w:sz w:val="28"/>
          <w:szCs w:val="36"/>
          <w:lang w:val="en-US" w:eastAsia="zh-CN"/>
        </w:rPr>
        <w:t>≥</w:t>
      </w:r>
      <w:r>
        <w:rPr>
          <w:rFonts w:hint="eastAsia" w:ascii="宋体" w:hAnsi="宋体" w:eastAsia="宋体" w:cs="宋体"/>
          <w:sz w:val="28"/>
          <w:szCs w:val="36"/>
          <w:lang w:val="en-US" w:eastAsia="zh-CN"/>
        </w:rPr>
        <w:t>8169级</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显示颜色：红、绿、兰各256色，共16777216种颜色</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图像传播速度：</w:t>
      </w:r>
      <w:r>
        <w:rPr>
          <w:rFonts w:hint="default" w:ascii="Arial" w:hAnsi="Arial" w:eastAsia="宋体" w:cs="Arial"/>
          <w:sz w:val="28"/>
          <w:szCs w:val="36"/>
          <w:lang w:val="en-US" w:eastAsia="zh-CN"/>
        </w:rPr>
        <w:t>≥</w:t>
      </w:r>
      <w:r>
        <w:rPr>
          <w:rFonts w:hint="eastAsia" w:ascii="Arial" w:hAnsi="Arial" w:eastAsia="宋体" w:cs="Arial"/>
          <w:sz w:val="28"/>
          <w:szCs w:val="36"/>
          <w:lang w:val="en-US" w:eastAsia="zh-CN"/>
        </w:rPr>
        <w:t>72帧</w:t>
      </w:r>
      <w:r>
        <w:rPr>
          <w:rFonts w:hint="eastAsia" w:ascii="宋体" w:hAnsi="宋体" w:eastAsia="宋体" w:cs="宋体"/>
          <w:sz w:val="28"/>
          <w:szCs w:val="36"/>
          <w:lang w:val="en-US" w:eastAsia="zh-CN"/>
        </w:rPr>
        <w:t>/秒</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屏幕刷新速度：&gt;300HZ</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非线性校正（GAMMA）：10级可调</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控制方式：同步控制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显示卡：DVI独立显卡+数据采集卡+数据接收卡</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可视角度水平：≧140°可选，垂直≧100°可选</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亮度调节方式：软件调节256级可调 </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软件手动调节：100级可调100</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计算机系统：WIN7、WIN10</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播放内容 ：所有文本文件、所有图片文件、可播放常见视频格式、可播放常见音频格式</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控制系统 ：PCTV卡+DVI显卡+主控卡+光纤传输</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平均无故障时间：&gt;5000小时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像素失控率：&lt;0.0002</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连续工作时间：&gt;48小时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屏幕寿命：10万小时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屏体重量：≦90mm</w:t>
      </w:r>
    </w:p>
    <w:p/>
    <w:p/>
    <w:p/>
    <w:p/>
    <w:p/>
    <w:p/>
    <w:p/>
    <w:p/>
    <w:p/>
    <w:p/>
    <w:p/>
    <w:p/>
    <w:p/>
    <w:p/>
    <w:p/>
    <w:p/>
    <w:p/>
    <w:p/>
    <w:p/>
    <w:p/>
    <w:p/>
    <w:p/>
    <w:p/>
    <w:p/>
    <w:p/>
    <w:p/>
    <w:p/>
    <w:p/>
    <w:p>
      <w:pPr>
        <w:numPr>
          <w:ilvl w:val="0"/>
          <w:numId w:val="0"/>
        </w:numPr>
        <w:ind w:firstLine="2811" w:firstLineChars="1000"/>
        <w:jc w:val="both"/>
        <w:rPr>
          <w:rFonts w:hint="eastAsia"/>
          <w:b/>
          <w:bCs/>
          <w:sz w:val="28"/>
          <w:szCs w:val="36"/>
          <w:lang w:val="en-US" w:eastAsia="zh-CN"/>
        </w:rPr>
      </w:pPr>
      <w:r>
        <w:rPr>
          <w:rFonts w:hint="eastAsia"/>
          <w:b/>
          <w:bCs/>
          <w:sz w:val="28"/>
          <w:szCs w:val="36"/>
          <w:lang w:val="en-US" w:eastAsia="zh-CN"/>
        </w:rPr>
        <w:t>第三章   报价清单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505"/>
        <w:gridCol w:w="974"/>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序号</w:t>
            </w:r>
          </w:p>
        </w:tc>
        <w:tc>
          <w:tcPr>
            <w:tcW w:w="2505" w:type="dxa"/>
          </w:tcPr>
          <w:p>
            <w:pPr>
              <w:numPr>
                <w:ilvl w:val="0"/>
                <w:numId w:val="0"/>
              </w:numPr>
              <w:ind w:firstLine="840" w:firstLineChars="300"/>
              <w:jc w:val="center"/>
              <w:rPr>
                <w:rFonts w:hint="eastAsia"/>
                <w:sz w:val="28"/>
                <w:szCs w:val="36"/>
                <w:vertAlign w:val="baseline"/>
                <w:lang w:val="en-US" w:eastAsia="zh-CN"/>
              </w:rPr>
            </w:pPr>
            <w:r>
              <w:rPr>
                <w:rFonts w:hint="eastAsia"/>
                <w:sz w:val="28"/>
                <w:szCs w:val="36"/>
                <w:vertAlign w:val="baseline"/>
                <w:lang w:val="en-US" w:eastAsia="zh-CN"/>
              </w:rPr>
              <w:t>项目</w:t>
            </w:r>
          </w:p>
        </w:tc>
        <w:tc>
          <w:tcPr>
            <w:tcW w:w="974"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数量</w:t>
            </w: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单位</w:t>
            </w:r>
          </w:p>
        </w:tc>
        <w:tc>
          <w:tcPr>
            <w:tcW w:w="142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单价（元）</w:t>
            </w:r>
          </w:p>
        </w:tc>
        <w:tc>
          <w:tcPr>
            <w:tcW w:w="142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ind w:firstLine="280" w:firstLineChars="100"/>
              <w:jc w:val="both"/>
              <w:rPr>
                <w:rFonts w:hint="eastAsia"/>
                <w:sz w:val="28"/>
                <w:szCs w:val="36"/>
                <w:vertAlign w:val="baseline"/>
                <w:lang w:val="en-US" w:eastAsia="zh-CN"/>
              </w:rPr>
            </w:pPr>
            <w:r>
              <w:rPr>
                <w:rFonts w:hint="eastAsia"/>
                <w:sz w:val="28"/>
                <w:szCs w:val="36"/>
                <w:vertAlign w:val="baseline"/>
                <w:lang w:val="en-US" w:eastAsia="zh-CN"/>
              </w:rPr>
              <w:t>1</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2.5mm屏幕</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平方米</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2</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数据采集卡</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张</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3</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数据接收卡USB</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张</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4</w:t>
            </w:r>
          </w:p>
          <w:p>
            <w:pPr>
              <w:numPr>
                <w:ilvl w:val="0"/>
                <w:numId w:val="0"/>
              </w:numPr>
              <w:jc w:val="center"/>
              <w:rPr>
                <w:rFonts w:hint="eastAsia"/>
                <w:sz w:val="28"/>
                <w:szCs w:val="36"/>
                <w:vertAlign w:val="baseline"/>
                <w:lang w:val="en-US" w:eastAsia="zh-CN"/>
              </w:rPr>
            </w:pP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屏体安装用方通+</w:t>
            </w:r>
          </w:p>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铝合金边框</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套</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5</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播控软体</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套</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6</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嵌入式音箱</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套</w:t>
            </w: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7</w:t>
            </w:r>
          </w:p>
        </w:tc>
        <w:tc>
          <w:tcPr>
            <w:tcW w:w="2505"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合计</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tcPr>
          <w:p>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8</w:t>
            </w:r>
          </w:p>
        </w:tc>
        <w:tc>
          <w:tcPr>
            <w:tcW w:w="2505" w:type="dxa"/>
          </w:tcPr>
          <w:p>
            <w:pPr>
              <w:numPr>
                <w:ilvl w:val="0"/>
                <w:numId w:val="0"/>
              </w:numPr>
              <w:jc w:val="both"/>
              <w:rPr>
                <w:rFonts w:hint="eastAsia"/>
                <w:sz w:val="28"/>
                <w:szCs w:val="36"/>
                <w:vertAlign w:val="baseline"/>
                <w:lang w:val="en-US" w:eastAsia="zh-CN"/>
              </w:rPr>
            </w:pPr>
            <w:r>
              <w:rPr>
                <w:rFonts w:hint="eastAsia" w:hAnsi="宋体"/>
                <w:color w:val="000000"/>
                <w:sz w:val="28"/>
                <w:szCs w:val="28"/>
                <w:lang w:val="en-US" w:eastAsia="zh-CN"/>
              </w:rPr>
              <w:t>LED</w:t>
            </w:r>
            <w:r>
              <w:rPr>
                <w:rFonts w:hint="eastAsia" w:asciiTheme="minorEastAsia" w:hAnsiTheme="minorEastAsia" w:cstheme="minorEastAsia"/>
                <w:color w:val="000000"/>
                <w:sz w:val="28"/>
                <w:szCs w:val="28"/>
                <w:lang w:val="en-US" w:eastAsia="zh-CN"/>
              </w:rPr>
              <w:t>屏体</w:t>
            </w:r>
            <w:r>
              <w:rPr>
                <w:rFonts w:hint="eastAsia" w:hAnsi="宋体" w:eastAsia="宋体" w:cs="宋体"/>
                <w:color w:val="000000"/>
                <w:sz w:val="28"/>
                <w:szCs w:val="28"/>
                <w:lang w:val="en-US" w:eastAsia="zh-CN"/>
              </w:rPr>
              <w:t>每平方米</w:t>
            </w:r>
            <w:r>
              <w:rPr>
                <w:rFonts w:hint="eastAsia" w:asciiTheme="minorEastAsia" w:hAnsiTheme="minorEastAsia" w:cstheme="minorEastAsia"/>
                <w:color w:val="000000"/>
                <w:sz w:val="28"/>
                <w:szCs w:val="28"/>
                <w:lang w:val="en-US" w:eastAsia="zh-CN"/>
              </w:rPr>
              <w:t>单价</w:t>
            </w:r>
          </w:p>
        </w:tc>
        <w:tc>
          <w:tcPr>
            <w:tcW w:w="974" w:type="dxa"/>
          </w:tcPr>
          <w:p>
            <w:pPr>
              <w:numPr>
                <w:ilvl w:val="0"/>
                <w:numId w:val="0"/>
              </w:numPr>
              <w:jc w:val="center"/>
              <w:rPr>
                <w:rFonts w:hint="eastAsia"/>
                <w:sz w:val="28"/>
                <w:szCs w:val="36"/>
                <w:vertAlign w:val="baseline"/>
                <w:lang w:val="en-US" w:eastAsia="zh-CN"/>
              </w:rPr>
            </w:pPr>
          </w:p>
        </w:tc>
        <w:tc>
          <w:tcPr>
            <w:tcW w:w="1420"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c>
          <w:tcPr>
            <w:tcW w:w="1421" w:type="dxa"/>
          </w:tcPr>
          <w:p>
            <w:pPr>
              <w:numPr>
                <w:ilvl w:val="0"/>
                <w:numId w:val="0"/>
              </w:numPr>
              <w:jc w:val="center"/>
              <w:rPr>
                <w:rFonts w:hint="eastAsia"/>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numPr>
                <w:ilvl w:val="0"/>
                <w:numId w:val="0"/>
              </w:numPr>
              <w:jc w:val="both"/>
              <w:rPr>
                <w:rFonts w:hint="eastAsia"/>
                <w:b/>
                <w:bCs/>
                <w:sz w:val="24"/>
                <w:szCs w:val="32"/>
                <w:vertAlign w:val="baseline"/>
                <w:lang w:val="en-US" w:eastAsia="zh-CN"/>
              </w:rPr>
            </w:pPr>
            <w:r>
              <w:rPr>
                <w:rFonts w:hint="eastAsia"/>
                <w:b/>
                <w:bCs/>
                <w:sz w:val="24"/>
                <w:szCs w:val="32"/>
                <w:vertAlign w:val="baseline"/>
                <w:lang w:val="en-US" w:eastAsia="zh-CN"/>
              </w:rPr>
              <w:t>注：本报价应符合询价文件第二章报价人须知中，针对工程量清单报价的所有要求。本报价有标价的单价和总额价均已包括了实施和完成合同工程所需的人工、设备材料、机械、安装调试、检测、缺陷修复、管理、验收、保险、税费、利润等费用，以及合同明示或暗示的所有责任、义务和一般风险，不再另行单独报价。</w:t>
            </w:r>
          </w:p>
        </w:tc>
      </w:tr>
    </w:tbl>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numPr>
          <w:ilvl w:val="0"/>
          <w:numId w:val="0"/>
        </w:numPr>
        <w:jc w:val="center"/>
        <w:rPr>
          <w:rFonts w:hint="eastAsia"/>
          <w:lang w:val="en-US" w:eastAsia="zh-CN"/>
        </w:rPr>
      </w:pPr>
    </w:p>
    <w:p>
      <w:pPr>
        <w:pStyle w:val="2"/>
        <w:keepLines/>
        <w:spacing w:before="340" w:after="330" w:line="360" w:lineRule="auto"/>
        <w:jc w:val="center"/>
        <w:rPr>
          <w:rFonts w:ascii="宋体" w:hAnsi="宋体" w:cs="宋体"/>
          <w:b/>
          <w:bCs/>
          <w:color w:val="000000"/>
          <w:kern w:val="44"/>
          <w:sz w:val="32"/>
          <w:szCs w:val="32"/>
          <w:u w:val="none"/>
        </w:rPr>
      </w:pPr>
      <w:r>
        <w:rPr>
          <w:rFonts w:hint="eastAsia" w:ascii="宋体" w:hAnsi="宋体" w:cs="宋体"/>
          <w:b/>
          <w:bCs/>
          <w:color w:val="000000"/>
          <w:kern w:val="44"/>
          <w:sz w:val="32"/>
          <w:szCs w:val="32"/>
          <w:u w:val="none"/>
        </w:rPr>
        <w:t>第四章  资格审查资料</w:t>
      </w:r>
    </w:p>
    <w:p>
      <w:pPr>
        <w:spacing w:line="360" w:lineRule="auto"/>
        <w:ind w:firstLine="440" w:firstLineChars="200"/>
        <w:rPr>
          <w:rFonts w:ascii="宋体" w:hAnsi="宋体"/>
          <w:color w:val="000000"/>
          <w:sz w:val="22"/>
          <w:szCs w:val="22"/>
        </w:rPr>
      </w:pPr>
    </w:p>
    <w:p>
      <w:pPr>
        <w:spacing w:line="360" w:lineRule="auto"/>
        <w:ind w:firstLine="560" w:firstLineChars="200"/>
        <w:rPr>
          <w:rFonts w:ascii="宋体" w:hAnsi="宋体"/>
          <w:sz w:val="28"/>
          <w:szCs w:val="28"/>
        </w:rPr>
      </w:pPr>
      <w:r>
        <w:rPr>
          <w:rFonts w:hint="eastAsia" w:ascii="宋体" w:hAnsi="宋体"/>
          <w:sz w:val="28"/>
          <w:szCs w:val="28"/>
        </w:rPr>
        <w:t>在此处应按本询价文件第一章第</w:t>
      </w:r>
      <w:r>
        <w:rPr>
          <w:rFonts w:hint="eastAsia" w:hAnsi="宋体"/>
          <w:color w:val="000000"/>
          <w:sz w:val="28"/>
          <w:szCs w:val="28"/>
        </w:rPr>
        <w:t>四</w:t>
      </w:r>
      <w:r>
        <w:rPr>
          <w:rFonts w:hint="eastAsia" w:ascii="宋体" w:hAnsi="宋体"/>
          <w:sz w:val="28"/>
          <w:szCs w:val="28"/>
        </w:rPr>
        <w:t>条“</w:t>
      </w:r>
      <w:r>
        <w:rPr>
          <w:rFonts w:hint="eastAsia" w:hAnsi="宋体"/>
          <w:color w:val="000000"/>
          <w:sz w:val="28"/>
          <w:szCs w:val="28"/>
        </w:rPr>
        <w:t>参与报价条件</w:t>
      </w:r>
      <w:r>
        <w:rPr>
          <w:rFonts w:hint="eastAsia" w:ascii="宋体" w:hAnsi="宋体"/>
          <w:sz w:val="28"/>
          <w:szCs w:val="28"/>
        </w:rPr>
        <w:t>”的相关要求，附上需提供的资格审查材料的影印件（并加盖单位鲜章），如企业营业执照、业绩证明材料、</w:t>
      </w:r>
      <w:r>
        <w:rPr>
          <w:rFonts w:hint="eastAsia" w:hAnsi="宋体" w:cs="Courier New"/>
          <w:color w:val="000000"/>
          <w:sz w:val="28"/>
          <w:szCs w:val="28"/>
        </w:rPr>
        <w:t>质量认证证书</w:t>
      </w:r>
      <w:r>
        <w:rPr>
          <w:rFonts w:hint="eastAsia" w:ascii="宋体" w:hAnsi="宋体"/>
          <w:sz w:val="28"/>
          <w:szCs w:val="28"/>
        </w:rPr>
        <w:t>等。</w:t>
      </w:r>
    </w:p>
    <w:p>
      <w:pPr>
        <w:numPr>
          <w:ilvl w:val="0"/>
          <w:numId w:val="0"/>
        </w:num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35758"/>
    <w:rsid w:val="0F684366"/>
    <w:rsid w:val="13FE011B"/>
    <w:rsid w:val="244C30DC"/>
    <w:rsid w:val="26D35758"/>
    <w:rsid w:val="2FE83AA5"/>
    <w:rsid w:val="636A0C8A"/>
    <w:rsid w:val="6D7C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440" w:lineRule="exact"/>
      <w:outlineLvl w:val="0"/>
    </w:pPr>
    <w:rPr>
      <w:sz w:val="24"/>
      <w:szCs w:val="24"/>
      <w:u w:val="single"/>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 w:val="21"/>
      <w:szCs w:val="21"/>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2018-08-27T02:37:00Z</dcterms:created>
  <dc:creator>李娟</dc:creator>
  <cp:lastModifiedBy>王超</cp:lastModifiedBy>
  <cp:lastPrinted>2018-08-28T09:00:33Z</cp:lastPrinted>
  <dcterms:modified xsi:type="dcterms:W3CDTF">2018-08-28T09:34:30Z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